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내부 IP</w:t>
      </w:r>
    </w:p>
    <w:p>
      <w:r>
        <w:t>내부 IP 목록을 관리합니다.</w:t>
      </w:r>
    </w:p>
    <w:p>
      <w:r>
        <w:drawing>
          <wp:inline distT="0" distR="0" distB="0" distL="0">
            <wp:extent cx="5715000" cy="1333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