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행위 프로파일 삭제</w:t>
      </w:r>
    </w:p>
    <w:p>
      <w:r>
        <w:t xml:space="preserve">목록에서 체크박스를 선택하고 </w:t>
      </w:r>
      <w:r>
        <w:rPr>
          <w:rStyle w:val="af4"/>
        </w:rPr>
        <w:t>삭제</w:t>
      </w:r>
      <w:r>
        <w:t xml:space="preserve"> 버튼을 클릭하면 삭제 여부를 다시 확인합니다. 대화상자에서 </w:t>
      </w:r>
      <w:r>
        <w:rPr>
          <w:rStyle w:val="af4"/>
        </w:rPr>
        <w:t>삭제</w:t>
      </w:r>
      <w:r>
        <w:t xml:space="preserve"> 버튼을 클릭하면 선택된 행위 프로파일이 삭제됩니다. 단, 탐지 정책에서 사용 중인 행위 프로파일은 삭제할 수 없습니다.</w:t>
      </w:r>
    </w:p>
    <w:p>
      <w:r>
        <w:drawing>
          <wp:inline distT="0" distR="0" distB="0" distL="0">
            <wp:extent cx="5715000" cy="2057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