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생성</w:t>
      </w:r>
    </w:p>
    <w:p>
      <w:r>
        <w:t xml:space="preserve">위젯 관리 화면에서 </w:t>
      </w:r>
      <w:r>
        <w:rPr>
          <w:rStyle w:val="af4"/>
        </w:rPr>
        <w:t>새 위젯 추가</w:t>
      </w:r>
      <w:r>
        <w:t xml:space="preserve"> 버튼을 클릭한 후 원하는 위젯 유형을 선택하면 해당 위젯을 생성할 수 있습니다.</w:t>
      </w:r>
    </w:p>
    <w:p>
      <w:r>
        <w:drawing>
          <wp:inline distT="0" distR="0" distB="0" distL="0">
            <wp:extent cx="5715000" cy="2374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