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4"/>
      </w:pPr>
      <w:r>
        <w:t>배치 탐지 시나리오 복제</w:t>
      </w:r>
    </w:p>
    <w:p>
      <w:r>
        <w:t xml:space="preserve">목록에서 시나리오를 선택하고 </w:t>
      </w:r>
      <w:r>
        <w:rPr>
          <w:rStyle w:val="af4"/>
        </w:rPr>
        <w:t>복제</w:t>
      </w:r>
      <w:r>
        <w:t xml:space="preserve"> 버튼을 클릭하면 복제 여부를 다시 확인합니다. 대화상자에서 </w:t>
      </w:r>
      <w:r>
        <w:rPr>
          <w:rStyle w:val="af4"/>
        </w:rPr>
        <w:t>복제</w:t>
      </w:r>
      <w:r>
        <w:t xml:space="preserve"> 버튼을 클릭하면 복제된 시나리오 사본이 목록에 추가됩니다.</w:t>
      </w:r>
    </w:p>
    <w:p>
      <w:r>
        <w:drawing>
          <wp:inline distT="0" distR="0" distB="0" distL="0">
            <wp:extent cx="5715000" cy="21463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14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R="0" distB="0" distL="0">
            <wp:extent cx="5715000" cy="2197100"/>
            <wp:docPr id="1" name="Drawing 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19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11" Target="media/image2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