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sentry-logger-stop</w:t>
      </w:r>
    </w:p>
    <w:p>
      <w:r>
        <w:t>Deactivates a specific logger of a sentry.</w:t>
      </w:r>
    </w:p>
    <w:p>
      <w:pPr>
        <w:pStyle w:val="4"/>
      </w:pPr>
      <w:r>
        <w:t>Syntax</w:t>
      </w:r>
    </w:p>
    <w:p>
      <w:pPr>
        <w:pStyle w:val="ab"/>
      </w:pPr>
      <w:r>
        <w:t>sentry-logger-stop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and </w:t>
      </w:r>
      <w:r>
        <w:rPr>
          <w:rStyle w:val="af4"/>
        </w:rPr>
        <w:t>name</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Unique logger identifier in the sentry namespace</w:t>
            </w:r>
          </w:p>
        </w:tc>
      </w:tr>
    </w:tbl>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Deactivate loggers of all sentries.</w:t>
      </w:r>
    </w:p>
    <w:p>
      <w:pPr>
        <w:pStyle w:val="ae"/>
      </w:pPr>
      <w:r>
        <w:t>sentry | sentry-loggers | fields guid, name | sentry-logger-stop</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