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linux-arp-entries</w:t>
      </w:r>
    </w:p>
    <w:p>
      <w:r>
        <w:t>Retrieves the ARP cache from the /proc/net/arp file.</w:t>
      </w:r>
    </w:p>
    <w:p>
      <w:pPr>
        <w:pStyle w:val="4"/>
      </w:pPr>
      <w:r>
        <w:t>Syntax</w:t>
      </w:r>
    </w:p>
    <w:p>
      <w:pPr>
        <w:pStyle w:val="ab"/>
      </w:pPr>
      <w:r>
        <w:t>linux-arp-entries</w:t>
      </w:r>
    </w:p>
    <w:p>
      <w:pPr>
        <w:pStyle w:val="4"/>
      </w:pPr>
      <w:r>
        <w:t>Description</w:t>
      </w:r>
    </w:p>
    <w:p>
      <w:r>
        <w:t>After running the linux-arp-entries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Hardware type. In most cases, Ethernet(</w:t>
            </w:r>
            <w:r>
              <w:rPr>
                <w:rStyle w:val="af4"/>
              </w:rPr>
              <w:t>1</w:t>
            </w:r>
            <w:r>
              <w:t>).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Associated IP address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 address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Network interface name</w:t>
            </w:r>
          </w:p>
        </w:tc>
      </w:tr>
    </w:tbl>
    <w:p>
      <w:pPr>
        <w:pStyle w:val="4"/>
      </w:pPr>
      <w:r>
        <w:t>Usage</w:t>
      </w:r>
    </w:p>
    <w:p>
      <w:r>
        <w:t>Look up the ARP cache.</w:t>
      </w:r>
    </w:p>
    <w:p>
      <w:pPr>
        <w:pStyle w:val="ae"/>
      </w:pPr>
      <w:r>
        <w:t>linux-arp-entries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