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count()</w:t>
      </w:r>
    </w:p>
    <w:p>
      <w:r>
        <w:t>Count the number of rows in each group. If no expression is specified, it returns the total number of rows. If an expression is specified, it returns the number of rows with a non-null value.</w:t>
      </w:r>
    </w:p>
    <w:p>
      <w:pPr>
        <w:pStyle w:val="4"/>
      </w:pPr>
      <w:r>
        <w:t>Syntax</w:t>
      </w:r>
    </w:p>
    <w:p>
      <w:pPr>
        <w:pStyle w:val="ab"/>
      </w:pPr>
      <w:r>
        <w:t>count</w:t>
        <w:cr/>
      </w:r>
      <w:r>
        <w:t>count(EXPR)</w:t>
      </w:r>
    </w:p>
    <w:p>
      <w:pPr>
        <w:pStyle w:val="a7"/>
      </w:pPr>
      <w:r>
        <w:t>Optional Parameter</w:t>
      </w:r>
    </w:p>
    <w:p>
      <w:r>
        <w:rPr>
          <w:rStyle w:val="af4"/>
          <w:b w:val="on"/>
        </w:rPr>
        <w:t>EXPR</w:t>
      </w:r>
    </w:p>
    <w:p>
      <w:pPr>
        <w:ind w:left="400"/>
      </w:pPr>
      <w:r>
        <w:t>An expression of any type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